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BF" w:rsidRPr="007B1DD4" w:rsidRDefault="00AE60BF" w:rsidP="007B1DD4">
      <w:pPr>
        <w:pStyle w:val="Antrat1"/>
        <w:jc w:val="center"/>
        <w:rPr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 xml:space="preserve">DĖL ROKIŠKIO RAJONO SAVIVALDYBĖS  TARYBOS 2015 M. KOVO 27 D. SPRENDIMO NR. TS-79 „DĖL ROKIŠKIO RAJONO SAVIVALDYBĖS BŪSTO FONDO IR SOCIALINIO BŪSTO FONDO SĄRAŠŲ PATVIRTINIMO“ </w:t>
      </w:r>
      <w:r w:rsidR="00765866" w:rsidRPr="007B1DD4">
        <w:rPr>
          <w:b/>
          <w:sz w:val="24"/>
          <w:szCs w:val="24"/>
          <w:lang w:val="lt-LT"/>
        </w:rPr>
        <w:t>DALINIO PAKEITIMO</w:t>
      </w:r>
    </w:p>
    <w:p w:rsidR="00AE60BF" w:rsidRPr="007B1DD4" w:rsidRDefault="00AE60BF" w:rsidP="007B1DD4">
      <w:pPr>
        <w:ind w:right="197"/>
        <w:jc w:val="center"/>
        <w:rPr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  <w:r w:rsidRPr="007B1DD4">
        <w:rPr>
          <w:b/>
          <w:sz w:val="24"/>
          <w:szCs w:val="24"/>
          <w:lang w:val="lt-LT"/>
        </w:rPr>
        <w:tab/>
      </w:r>
    </w:p>
    <w:p w:rsidR="00AE60BF" w:rsidRPr="007B1DD4" w:rsidRDefault="00505218" w:rsidP="007B1DD4">
      <w:pPr>
        <w:ind w:right="197"/>
        <w:jc w:val="center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2016</w:t>
      </w:r>
      <w:r w:rsidR="006A0DE1" w:rsidRPr="007B1DD4">
        <w:rPr>
          <w:sz w:val="24"/>
          <w:szCs w:val="24"/>
          <w:lang w:val="lt-LT"/>
        </w:rPr>
        <w:t xml:space="preserve"> m. </w:t>
      </w:r>
      <w:r w:rsidR="006C7B0E">
        <w:rPr>
          <w:sz w:val="24"/>
          <w:szCs w:val="24"/>
          <w:lang w:val="lt-LT"/>
        </w:rPr>
        <w:t xml:space="preserve">lapkričio </w:t>
      </w:r>
      <w:r w:rsidR="006B08C4" w:rsidRPr="007B1DD4">
        <w:rPr>
          <w:sz w:val="24"/>
          <w:szCs w:val="24"/>
          <w:lang w:val="lt-LT"/>
        </w:rPr>
        <w:t>25</w:t>
      </w:r>
      <w:r w:rsidRPr="007B1DD4">
        <w:rPr>
          <w:sz w:val="24"/>
          <w:szCs w:val="24"/>
          <w:lang w:val="lt-LT"/>
        </w:rPr>
        <w:t xml:space="preserve"> </w:t>
      </w:r>
      <w:r w:rsidR="00AE60BF" w:rsidRPr="007B1DD4">
        <w:rPr>
          <w:sz w:val="24"/>
          <w:szCs w:val="24"/>
          <w:lang w:val="lt-LT"/>
        </w:rPr>
        <w:t>d. Nr. TS-</w:t>
      </w:r>
    </w:p>
    <w:p w:rsidR="00AE60BF" w:rsidRDefault="00AE60BF" w:rsidP="007B1DD4">
      <w:pPr>
        <w:ind w:right="197"/>
        <w:jc w:val="center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Rokiškis</w:t>
      </w:r>
    </w:p>
    <w:p w:rsidR="006C7B0E" w:rsidRPr="007B1DD4" w:rsidRDefault="006C7B0E" w:rsidP="007B1DD4">
      <w:pPr>
        <w:ind w:right="197"/>
        <w:jc w:val="center"/>
        <w:rPr>
          <w:sz w:val="24"/>
          <w:szCs w:val="24"/>
          <w:lang w:val="lt-LT"/>
        </w:rPr>
      </w:pPr>
    </w:p>
    <w:p w:rsidR="00AE60BF" w:rsidRPr="007B1DD4" w:rsidRDefault="00AE60BF" w:rsidP="007B1DD4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:rsidR="00780B12" w:rsidRPr="007B1DD4" w:rsidRDefault="00780B12" w:rsidP="007B1DD4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Vadovaudamasi Lietuvos Respublikos vietos savivaldos įstatymo 18 straipsnio 1 dalimi ir Lietuvos Respublikos paramos būstui įsigyti ar išsinuomoti įstatymo 4 straips</w:t>
      </w:r>
      <w:r w:rsidR="00B63568" w:rsidRPr="007B1DD4">
        <w:rPr>
          <w:sz w:val="24"/>
          <w:szCs w:val="24"/>
          <w:lang w:val="lt-LT"/>
        </w:rPr>
        <w:t xml:space="preserve">nio 5 dalies 4 </w:t>
      </w:r>
      <w:r w:rsidR="00765866" w:rsidRPr="007B1DD4">
        <w:rPr>
          <w:sz w:val="24"/>
          <w:szCs w:val="24"/>
          <w:lang w:val="lt-LT"/>
        </w:rPr>
        <w:t xml:space="preserve"> </w:t>
      </w:r>
      <w:r w:rsidR="006B08C4" w:rsidRPr="007B1DD4">
        <w:rPr>
          <w:sz w:val="24"/>
          <w:szCs w:val="24"/>
          <w:lang w:val="lt-LT"/>
        </w:rPr>
        <w:t>punktu</w:t>
      </w:r>
      <w:r w:rsidR="006C7B0E">
        <w:rPr>
          <w:sz w:val="24"/>
          <w:szCs w:val="24"/>
          <w:lang w:val="lt-LT"/>
        </w:rPr>
        <w:t xml:space="preserve">, </w:t>
      </w:r>
      <w:r w:rsidR="00B63568" w:rsidRPr="007B1DD4">
        <w:rPr>
          <w:sz w:val="24"/>
          <w:szCs w:val="24"/>
          <w:lang w:val="lt-LT"/>
        </w:rPr>
        <w:t>Rokiškio rajono</w:t>
      </w:r>
      <w:r w:rsidRPr="007B1DD4">
        <w:rPr>
          <w:sz w:val="24"/>
          <w:szCs w:val="24"/>
          <w:lang w:val="lt-LT"/>
        </w:rPr>
        <w:t xml:space="preserve"> savivaldybės taryba n u s p r e n d ž i a: </w:t>
      </w:r>
    </w:p>
    <w:p w:rsidR="00780B12" w:rsidRPr="007B1DD4" w:rsidRDefault="00780B12" w:rsidP="007B1DD4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P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a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k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e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i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s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t</w:t>
      </w:r>
      <w:r w:rsidR="005A2F72" w:rsidRPr="007B1DD4">
        <w:rPr>
          <w:sz w:val="24"/>
          <w:szCs w:val="24"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 xml:space="preserve">i </w:t>
      </w:r>
      <w:r w:rsidR="00B63568" w:rsidRPr="007B1DD4">
        <w:rPr>
          <w:sz w:val="24"/>
          <w:szCs w:val="24"/>
          <w:lang w:val="lt-LT"/>
        </w:rPr>
        <w:t xml:space="preserve">Rokiškio rajono </w:t>
      </w:r>
      <w:r w:rsidRPr="007B1DD4">
        <w:rPr>
          <w:sz w:val="24"/>
          <w:szCs w:val="24"/>
          <w:lang w:val="lt-LT"/>
        </w:rPr>
        <w:t>savival</w:t>
      </w:r>
      <w:r w:rsidR="00B63568" w:rsidRPr="007B1DD4">
        <w:rPr>
          <w:sz w:val="24"/>
          <w:szCs w:val="24"/>
          <w:lang w:val="lt-LT"/>
        </w:rPr>
        <w:t>dybės tarybos 2015 m. kovo 27 d. sprendimo Nr. TS-79</w:t>
      </w:r>
      <w:r w:rsidRPr="007B1DD4">
        <w:rPr>
          <w:sz w:val="24"/>
          <w:szCs w:val="24"/>
          <w:lang w:val="lt-LT"/>
        </w:rPr>
        <w:t xml:space="preserve"> „Dėl </w:t>
      </w:r>
      <w:r w:rsidR="00B63568" w:rsidRPr="007B1DD4">
        <w:rPr>
          <w:sz w:val="24"/>
          <w:szCs w:val="24"/>
          <w:lang w:val="lt-LT"/>
        </w:rPr>
        <w:t xml:space="preserve">Rokiškio rajono </w:t>
      </w:r>
      <w:r w:rsidRPr="007B1DD4">
        <w:rPr>
          <w:sz w:val="24"/>
          <w:szCs w:val="24"/>
          <w:lang w:val="lt-LT"/>
        </w:rPr>
        <w:t>savivaldybės būsto fondo ir socialinio</w:t>
      </w:r>
      <w:r w:rsidR="00B63568" w:rsidRPr="007B1DD4">
        <w:rPr>
          <w:sz w:val="24"/>
          <w:szCs w:val="24"/>
          <w:lang w:val="lt-LT"/>
        </w:rPr>
        <w:t xml:space="preserve"> būsto</w:t>
      </w:r>
      <w:r w:rsidRPr="007B1DD4">
        <w:rPr>
          <w:sz w:val="24"/>
          <w:szCs w:val="24"/>
          <w:lang w:val="lt-LT"/>
        </w:rPr>
        <w:t xml:space="preserve"> fondo sąrašų patvirtinimo“ 1 punktu</w:t>
      </w:r>
      <w:r w:rsidR="00B63568" w:rsidRPr="007B1DD4">
        <w:rPr>
          <w:sz w:val="24"/>
          <w:szCs w:val="24"/>
          <w:lang w:val="lt-LT"/>
        </w:rPr>
        <w:t xml:space="preserve"> patvirtintą Rokiškio rajono savivaldybės būsto fondo sąrašą</w:t>
      </w:r>
      <w:r w:rsidRPr="007B1DD4">
        <w:rPr>
          <w:sz w:val="24"/>
          <w:szCs w:val="24"/>
          <w:lang w:val="lt-LT"/>
        </w:rPr>
        <w:t xml:space="preserve"> ir</w:t>
      </w:r>
      <w:r w:rsidR="00B63568" w:rsidRPr="007B1DD4">
        <w:rPr>
          <w:sz w:val="24"/>
          <w:szCs w:val="24"/>
          <w:lang w:val="lt-LT"/>
        </w:rPr>
        <w:t xml:space="preserve"> iš jo išbraukti parduotus butus:</w:t>
      </w:r>
    </w:p>
    <w:p w:rsidR="00686BDA" w:rsidRPr="007B1DD4" w:rsidRDefault="00686BDA" w:rsidP="007B1DD4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3"/>
        <w:gridCol w:w="3324"/>
      </w:tblGrid>
      <w:tr w:rsidR="00686BDA" w:rsidRPr="007B1DD4" w:rsidTr="006C7B0E">
        <w:trPr>
          <w:trHeight w:val="655"/>
        </w:trPr>
        <w:tc>
          <w:tcPr>
            <w:tcW w:w="6423" w:type="dxa"/>
          </w:tcPr>
          <w:p w:rsidR="00686BDA" w:rsidRPr="007B1DD4" w:rsidRDefault="00686BDA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Buto adresas</w:t>
            </w:r>
          </w:p>
        </w:tc>
        <w:tc>
          <w:tcPr>
            <w:tcW w:w="3324" w:type="dxa"/>
          </w:tcPr>
          <w:p w:rsidR="006C7B0E" w:rsidRDefault="00686BDA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 xml:space="preserve">Bendras naudingas plotas, </w:t>
            </w:r>
          </w:p>
          <w:p w:rsidR="00686BDA" w:rsidRPr="007B1DD4" w:rsidRDefault="00686BDA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kv. m</w:t>
            </w:r>
          </w:p>
        </w:tc>
      </w:tr>
      <w:tr w:rsidR="00686BDA" w:rsidRPr="007B1DD4" w:rsidTr="006C7B0E">
        <w:tc>
          <w:tcPr>
            <w:tcW w:w="6423" w:type="dxa"/>
          </w:tcPr>
          <w:p w:rsidR="00686BDA" w:rsidRPr="007B1DD4" w:rsidRDefault="006A0DE1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 xml:space="preserve">Rokiškio r., </w:t>
            </w:r>
            <w:proofErr w:type="spellStart"/>
            <w:r w:rsidRPr="007B1DD4">
              <w:rPr>
                <w:sz w:val="24"/>
                <w:szCs w:val="24"/>
                <w:lang w:val="lt-LT"/>
              </w:rPr>
              <w:t>Jūžintų</w:t>
            </w:r>
            <w:proofErr w:type="spellEnd"/>
            <w:r w:rsidRPr="007B1DD4">
              <w:rPr>
                <w:sz w:val="24"/>
                <w:szCs w:val="24"/>
                <w:lang w:val="lt-LT"/>
              </w:rPr>
              <w:t xml:space="preserve"> sen.,</w:t>
            </w:r>
            <w:r w:rsidR="007B1DD4">
              <w:rPr>
                <w:sz w:val="24"/>
                <w:szCs w:val="24"/>
                <w:lang w:val="lt-LT"/>
              </w:rPr>
              <w:t xml:space="preserve"> </w:t>
            </w:r>
            <w:r w:rsidRPr="007B1DD4">
              <w:rPr>
                <w:sz w:val="24"/>
                <w:szCs w:val="24"/>
                <w:lang w:val="lt-LT"/>
              </w:rPr>
              <w:t>Ragelių k., Ragelių g. 17-6</w:t>
            </w:r>
            <w:r w:rsidR="00686BDA" w:rsidRPr="007B1DD4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24" w:type="dxa"/>
          </w:tcPr>
          <w:p w:rsidR="00686BDA" w:rsidRPr="007B1DD4" w:rsidRDefault="006A0DE1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58,24</w:t>
            </w:r>
          </w:p>
        </w:tc>
      </w:tr>
      <w:tr w:rsidR="00686BDA" w:rsidRPr="007B1DD4" w:rsidTr="006C7B0E">
        <w:tc>
          <w:tcPr>
            <w:tcW w:w="6423" w:type="dxa"/>
          </w:tcPr>
          <w:p w:rsidR="00686BDA" w:rsidRPr="007B1DD4" w:rsidRDefault="006A0DE1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 xml:space="preserve">Rokiškio r., </w:t>
            </w:r>
            <w:proofErr w:type="spellStart"/>
            <w:r w:rsidRPr="007B1DD4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="00686BDA" w:rsidRPr="007B1DD4">
              <w:rPr>
                <w:sz w:val="24"/>
                <w:szCs w:val="24"/>
                <w:lang w:val="lt-LT"/>
              </w:rPr>
              <w:t xml:space="preserve"> sen., </w:t>
            </w:r>
            <w:proofErr w:type="spellStart"/>
            <w:r w:rsidRPr="007B1DD4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7B1DD4">
              <w:rPr>
                <w:sz w:val="24"/>
                <w:szCs w:val="24"/>
                <w:lang w:val="lt-LT"/>
              </w:rPr>
              <w:t xml:space="preserve"> mstl., Bevardės skg. 3-</w:t>
            </w:r>
            <w:r w:rsidR="00686BDA" w:rsidRPr="007B1DD4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324" w:type="dxa"/>
          </w:tcPr>
          <w:p w:rsidR="00686BDA" w:rsidRPr="007B1DD4" w:rsidRDefault="006A0DE1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20,69</w:t>
            </w:r>
          </w:p>
        </w:tc>
      </w:tr>
      <w:tr w:rsidR="006A0DE1" w:rsidRPr="007B1DD4" w:rsidTr="006C7B0E">
        <w:tc>
          <w:tcPr>
            <w:tcW w:w="6423" w:type="dxa"/>
          </w:tcPr>
          <w:p w:rsidR="006A0DE1" w:rsidRPr="007B1DD4" w:rsidRDefault="009C2094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Rokiškis, Vilties g. 36-2</w:t>
            </w:r>
          </w:p>
        </w:tc>
        <w:tc>
          <w:tcPr>
            <w:tcW w:w="3324" w:type="dxa"/>
          </w:tcPr>
          <w:p w:rsidR="006A0DE1" w:rsidRPr="007B1DD4" w:rsidRDefault="009C2094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51,40</w:t>
            </w:r>
          </w:p>
        </w:tc>
      </w:tr>
      <w:tr w:rsidR="009C2094" w:rsidRPr="007B1DD4" w:rsidTr="006C7B0E">
        <w:tc>
          <w:tcPr>
            <w:tcW w:w="6423" w:type="dxa"/>
          </w:tcPr>
          <w:p w:rsidR="009C2094" w:rsidRPr="007B1DD4" w:rsidRDefault="009C2094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Rokiškis, Vilties g. 36-8</w:t>
            </w:r>
          </w:p>
        </w:tc>
        <w:tc>
          <w:tcPr>
            <w:tcW w:w="3324" w:type="dxa"/>
          </w:tcPr>
          <w:p w:rsidR="009C2094" w:rsidRPr="007B1DD4" w:rsidRDefault="009C2094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66,34</w:t>
            </w:r>
          </w:p>
        </w:tc>
      </w:tr>
      <w:tr w:rsidR="009C2094" w:rsidRPr="007B1DD4" w:rsidTr="006C7B0E">
        <w:tc>
          <w:tcPr>
            <w:tcW w:w="6423" w:type="dxa"/>
          </w:tcPr>
          <w:p w:rsidR="009C2094" w:rsidRPr="007B1DD4" w:rsidRDefault="009C2094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Rokiškis, Vilties g. 36-11</w:t>
            </w:r>
          </w:p>
        </w:tc>
        <w:tc>
          <w:tcPr>
            <w:tcW w:w="3324" w:type="dxa"/>
          </w:tcPr>
          <w:p w:rsidR="009C2094" w:rsidRPr="007B1DD4" w:rsidRDefault="009C2094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37,49</w:t>
            </w:r>
          </w:p>
        </w:tc>
      </w:tr>
      <w:tr w:rsidR="009C2094" w:rsidRPr="007B1DD4" w:rsidTr="006C7B0E">
        <w:tc>
          <w:tcPr>
            <w:tcW w:w="6423" w:type="dxa"/>
          </w:tcPr>
          <w:p w:rsidR="009C2094" w:rsidRPr="007B1DD4" w:rsidRDefault="009C2094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Rokiškis, Vilties g. 36-14</w:t>
            </w:r>
          </w:p>
        </w:tc>
        <w:tc>
          <w:tcPr>
            <w:tcW w:w="3324" w:type="dxa"/>
          </w:tcPr>
          <w:p w:rsidR="009C2094" w:rsidRPr="007B1DD4" w:rsidRDefault="009C2094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4C7466" w:rsidRPr="007B1DD4" w:rsidTr="006C7B0E">
        <w:tc>
          <w:tcPr>
            <w:tcW w:w="6423" w:type="dxa"/>
          </w:tcPr>
          <w:p w:rsidR="004C7466" w:rsidRPr="007B1DD4" w:rsidRDefault="004C7466" w:rsidP="007B1DD4">
            <w:pPr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Rokiškis, Taikos g. 19-217</w:t>
            </w:r>
          </w:p>
        </w:tc>
        <w:tc>
          <w:tcPr>
            <w:tcW w:w="3324" w:type="dxa"/>
          </w:tcPr>
          <w:p w:rsidR="004C7466" w:rsidRPr="007B1DD4" w:rsidRDefault="004C7466" w:rsidP="007B1DD4">
            <w:pPr>
              <w:jc w:val="center"/>
              <w:rPr>
                <w:sz w:val="24"/>
                <w:szCs w:val="24"/>
                <w:lang w:val="lt-LT"/>
              </w:rPr>
            </w:pPr>
            <w:r w:rsidRPr="007B1DD4">
              <w:rPr>
                <w:sz w:val="24"/>
                <w:szCs w:val="24"/>
                <w:lang w:val="lt-LT"/>
              </w:rPr>
              <w:t>39,35</w:t>
            </w:r>
          </w:p>
        </w:tc>
      </w:tr>
    </w:tbl>
    <w:p w:rsidR="003603A6" w:rsidRPr="007B1DD4" w:rsidRDefault="004C7466" w:rsidP="007B1DD4">
      <w:pPr>
        <w:rPr>
          <w:sz w:val="24"/>
          <w:szCs w:val="24"/>
          <w:lang w:val="lt-LT"/>
        </w:rPr>
      </w:pPr>
      <w:r w:rsidRPr="007B1DD4">
        <w:rPr>
          <w:lang w:val="lt-LT"/>
        </w:rPr>
        <w:tab/>
      </w:r>
      <w:r w:rsidR="003603A6" w:rsidRPr="007B1DD4">
        <w:rPr>
          <w:lang w:val="lt-LT"/>
        </w:rPr>
        <w:tab/>
      </w:r>
    </w:p>
    <w:p w:rsidR="00780B12" w:rsidRPr="007B1DD4" w:rsidRDefault="004C7466" w:rsidP="007B1DD4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 xml:space="preserve">Šis sprendimas gali būti </w:t>
      </w:r>
      <w:r w:rsidR="00780B12" w:rsidRPr="007B1DD4">
        <w:rPr>
          <w:sz w:val="24"/>
          <w:szCs w:val="24"/>
          <w:lang w:val="lt-LT"/>
        </w:rPr>
        <w:t xml:space="preserve">skundžiamas Lietuvos Respublikos administracinių bylų teisenos įstatymo nustatyta tvarka. </w:t>
      </w:r>
    </w:p>
    <w:p w:rsidR="00780B12" w:rsidRPr="007B1DD4" w:rsidRDefault="00780B12" w:rsidP="007B1DD4">
      <w:pPr>
        <w:pStyle w:val="Antrat1"/>
        <w:jc w:val="both"/>
        <w:rPr>
          <w:sz w:val="24"/>
          <w:szCs w:val="24"/>
          <w:lang w:val="lt-LT"/>
        </w:rPr>
      </w:pPr>
    </w:p>
    <w:p w:rsidR="005650E5" w:rsidRPr="007B1DD4" w:rsidRDefault="005650E5" w:rsidP="007B1DD4">
      <w:pPr>
        <w:rPr>
          <w:lang w:val="lt-LT"/>
        </w:rPr>
      </w:pPr>
    </w:p>
    <w:p w:rsidR="005650E5" w:rsidRPr="007B1DD4" w:rsidRDefault="005650E5" w:rsidP="007B1DD4">
      <w:pPr>
        <w:rPr>
          <w:lang w:val="lt-LT"/>
        </w:rPr>
      </w:pPr>
    </w:p>
    <w:p w:rsidR="002D0049" w:rsidRDefault="002D0049" w:rsidP="007B1DD4">
      <w:pPr>
        <w:jc w:val="both"/>
        <w:rPr>
          <w:sz w:val="24"/>
          <w:szCs w:val="24"/>
          <w:lang w:val="lt-LT"/>
        </w:rPr>
      </w:pPr>
    </w:p>
    <w:p w:rsidR="006C7B0E" w:rsidRDefault="006C7B0E" w:rsidP="007B1DD4">
      <w:pPr>
        <w:jc w:val="both"/>
        <w:rPr>
          <w:sz w:val="24"/>
          <w:szCs w:val="24"/>
          <w:lang w:val="lt-LT"/>
        </w:rPr>
      </w:pPr>
    </w:p>
    <w:p w:rsidR="006C7B0E" w:rsidRPr="007B1DD4" w:rsidRDefault="006C7B0E" w:rsidP="007B1DD4">
      <w:pPr>
        <w:jc w:val="both"/>
        <w:rPr>
          <w:sz w:val="24"/>
          <w:szCs w:val="24"/>
          <w:lang w:val="lt-LT"/>
        </w:rPr>
      </w:pPr>
    </w:p>
    <w:p w:rsidR="002D0049" w:rsidRPr="007B1DD4" w:rsidRDefault="002D0049" w:rsidP="007B1DD4">
      <w:pPr>
        <w:ind w:right="197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Savivaldybės meras</w:t>
      </w:r>
      <w:r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</w:r>
      <w:r w:rsidR="005D23F3" w:rsidRPr="007B1DD4">
        <w:rPr>
          <w:sz w:val="24"/>
          <w:szCs w:val="24"/>
          <w:lang w:val="lt-LT"/>
        </w:rPr>
        <w:tab/>
        <w:t>Antanas Vagonis</w:t>
      </w:r>
    </w:p>
    <w:p w:rsidR="001059F4" w:rsidRPr="007B1DD4" w:rsidRDefault="001059F4" w:rsidP="007B1DD4">
      <w:pPr>
        <w:ind w:right="197"/>
        <w:rPr>
          <w:sz w:val="24"/>
          <w:szCs w:val="24"/>
          <w:lang w:val="lt-LT"/>
        </w:rPr>
      </w:pPr>
    </w:p>
    <w:p w:rsidR="001059F4" w:rsidRPr="007B1DD4" w:rsidRDefault="001059F4" w:rsidP="007B1DD4">
      <w:pPr>
        <w:ind w:right="197"/>
        <w:rPr>
          <w:sz w:val="24"/>
          <w:szCs w:val="24"/>
          <w:lang w:val="lt-LT"/>
        </w:rPr>
      </w:pPr>
    </w:p>
    <w:p w:rsidR="00FB034F" w:rsidRPr="007B1DD4" w:rsidRDefault="00FB034F" w:rsidP="007B1DD4">
      <w:pPr>
        <w:ind w:right="197"/>
        <w:rPr>
          <w:sz w:val="24"/>
          <w:szCs w:val="24"/>
          <w:lang w:val="lt-LT"/>
        </w:rPr>
      </w:pPr>
    </w:p>
    <w:p w:rsidR="002D7FD9" w:rsidRPr="007B1DD4" w:rsidRDefault="002D7FD9" w:rsidP="007B1DD4">
      <w:pPr>
        <w:ind w:right="197"/>
        <w:rPr>
          <w:sz w:val="24"/>
          <w:szCs w:val="24"/>
          <w:lang w:val="lt-LT"/>
        </w:rPr>
      </w:pPr>
    </w:p>
    <w:p w:rsidR="002D7FD9" w:rsidRPr="007B1DD4" w:rsidRDefault="002D7FD9" w:rsidP="007B1DD4">
      <w:pPr>
        <w:ind w:right="197"/>
        <w:rPr>
          <w:sz w:val="24"/>
          <w:szCs w:val="24"/>
          <w:lang w:val="lt-LT"/>
        </w:rPr>
      </w:pPr>
    </w:p>
    <w:p w:rsidR="002D7FD9" w:rsidRPr="007B1DD4" w:rsidRDefault="002D7FD9" w:rsidP="007B1DD4">
      <w:pPr>
        <w:ind w:right="197"/>
        <w:rPr>
          <w:sz w:val="24"/>
          <w:szCs w:val="24"/>
          <w:lang w:val="lt-LT"/>
        </w:rPr>
      </w:pPr>
    </w:p>
    <w:p w:rsidR="002D7FD9" w:rsidRPr="007B1DD4" w:rsidRDefault="002D7FD9" w:rsidP="007B1DD4">
      <w:pPr>
        <w:ind w:right="197"/>
        <w:rPr>
          <w:sz w:val="24"/>
          <w:szCs w:val="24"/>
          <w:lang w:val="lt-LT"/>
        </w:rPr>
      </w:pPr>
    </w:p>
    <w:p w:rsidR="006C7B0E" w:rsidRDefault="006C7B0E" w:rsidP="007B1DD4">
      <w:pPr>
        <w:ind w:right="197"/>
        <w:rPr>
          <w:sz w:val="24"/>
          <w:szCs w:val="24"/>
          <w:lang w:val="lt-LT"/>
        </w:rPr>
      </w:pPr>
    </w:p>
    <w:p w:rsidR="006C7B0E" w:rsidRDefault="006C7B0E" w:rsidP="007B1DD4">
      <w:pPr>
        <w:ind w:right="197"/>
        <w:rPr>
          <w:sz w:val="24"/>
          <w:szCs w:val="24"/>
          <w:lang w:val="lt-LT"/>
        </w:rPr>
      </w:pPr>
    </w:p>
    <w:p w:rsidR="006C7B0E" w:rsidRPr="007B1DD4" w:rsidRDefault="006C7B0E" w:rsidP="007B1DD4">
      <w:pPr>
        <w:ind w:right="197"/>
        <w:rPr>
          <w:sz w:val="24"/>
          <w:szCs w:val="24"/>
          <w:lang w:val="lt-LT"/>
        </w:rPr>
      </w:pPr>
    </w:p>
    <w:p w:rsidR="009D4DC4" w:rsidRPr="009D4DC4" w:rsidRDefault="00775E7A" w:rsidP="009D4DC4">
      <w:pPr>
        <w:ind w:right="197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 xml:space="preserve">Julė </w:t>
      </w:r>
      <w:proofErr w:type="spellStart"/>
      <w:r w:rsidRPr="007B1DD4">
        <w:rPr>
          <w:sz w:val="24"/>
          <w:szCs w:val="24"/>
          <w:lang w:val="lt-LT"/>
        </w:rPr>
        <w:t>Bražionienė</w:t>
      </w:r>
      <w:bookmarkStart w:id="0" w:name="_GoBack"/>
      <w:bookmarkEnd w:id="0"/>
      <w:proofErr w:type="spellEnd"/>
    </w:p>
    <w:p w:rsidR="00B8468C" w:rsidRPr="007B1DD4" w:rsidRDefault="00B8468C" w:rsidP="007B1DD4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  <w:r w:rsidRPr="007B1DD4">
        <w:rPr>
          <w:rFonts w:ascii="Times New Roman" w:hAnsi="Times New Roman"/>
          <w:b/>
          <w:bCs/>
          <w:sz w:val="24"/>
          <w:szCs w:val="24"/>
        </w:rPr>
        <w:lastRenderedPageBreak/>
        <w:t>Rokiškio rajono savivaldybės tarybai</w:t>
      </w:r>
    </w:p>
    <w:p w:rsidR="00B8468C" w:rsidRPr="007B1DD4" w:rsidRDefault="00B8468C" w:rsidP="007B1DD4">
      <w:pPr>
        <w:ind w:firstLine="851"/>
        <w:jc w:val="both"/>
        <w:rPr>
          <w:b/>
          <w:bCs/>
          <w:sz w:val="22"/>
          <w:szCs w:val="22"/>
          <w:lang w:val="lt-LT"/>
        </w:rPr>
      </w:pPr>
    </w:p>
    <w:p w:rsidR="007B1DD4" w:rsidRPr="007B1DD4" w:rsidRDefault="00B8468C" w:rsidP="007B1DD4">
      <w:pPr>
        <w:ind w:firstLine="851"/>
        <w:jc w:val="center"/>
        <w:rPr>
          <w:b/>
          <w:bCs/>
          <w:sz w:val="22"/>
          <w:szCs w:val="22"/>
          <w:lang w:val="lt-LT"/>
        </w:rPr>
      </w:pPr>
      <w:r w:rsidRPr="007B1DD4">
        <w:rPr>
          <w:b/>
          <w:bCs/>
          <w:sz w:val="24"/>
          <w:szCs w:val="24"/>
          <w:lang w:val="lt-LT"/>
        </w:rPr>
        <w:t>SAVIVALDYBĖS TARYBOS SPRENDIMO PROJEKTO</w:t>
      </w:r>
      <w:r w:rsidRPr="007B1DD4">
        <w:rPr>
          <w:b/>
          <w:lang w:val="lt-LT"/>
        </w:rPr>
        <w:t xml:space="preserve"> ,,</w:t>
      </w:r>
      <w:r w:rsidR="00686BDA" w:rsidRPr="007B1DD4">
        <w:rPr>
          <w:b/>
          <w:sz w:val="24"/>
          <w:szCs w:val="24"/>
          <w:lang w:val="lt-LT"/>
        </w:rPr>
        <w:t xml:space="preserve"> DĖL ROKIŠKIO RAJONO SAVIVALDYBĖS TARYBOS 2015 M. KOVO 27 D. SPRENDIMO NR. TS-79 „DĖL ROKIŠKIO RAJONO SAVIVALDYBĖS BŪSTO FONDO IR SOCIALINIO BŪSTO FONDO SĄRAŠŲ PATVIRTINIMO“</w:t>
      </w:r>
      <w:r w:rsidR="005650E5" w:rsidRPr="007B1DD4">
        <w:rPr>
          <w:b/>
          <w:sz w:val="24"/>
          <w:szCs w:val="24"/>
          <w:lang w:val="lt-LT"/>
        </w:rPr>
        <w:t xml:space="preserve"> </w:t>
      </w:r>
      <w:r w:rsidR="00686BDA" w:rsidRPr="007B1DD4">
        <w:rPr>
          <w:b/>
          <w:sz w:val="24"/>
          <w:szCs w:val="24"/>
          <w:lang w:val="lt-LT"/>
        </w:rPr>
        <w:t>DALINIO PAKEITIMO“</w:t>
      </w:r>
      <w:r w:rsidR="007B1DD4" w:rsidRPr="007B1DD4">
        <w:rPr>
          <w:b/>
          <w:sz w:val="24"/>
          <w:szCs w:val="24"/>
          <w:lang w:val="lt-LT"/>
        </w:rPr>
        <w:t xml:space="preserve"> </w:t>
      </w:r>
      <w:r w:rsidR="007B1DD4" w:rsidRPr="007B1DD4">
        <w:rPr>
          <w:b/>
          <w:bCs/>
          <w:sz w:val="22"/>
          <w:szCs w:val="22"/>
          <w:lang w:val="lt-LT"/>
        </w:rPr>
        <w:t>AIŠKINAMASIS RAŠTAS</w:t>
      </w:r>
    </w:p>
    <w:p w:rsidR="00686BDA" w:rsidRPr="007B1DD4" w:rsidRDefault="00686BDA" w:rsidP="007B1DD4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B8468C" w:rsidRPr="007B1DD4" w:rsidRDefault="00B8468C" w:rsidP="007B1DD4">
      <w:pPr>
        <w:pStyle w:val="Antrat1"/>
        <w:jc w:val="center"/>
        <w:rPr>
          <w:b/>
          <w:sz w:val="22"/>
          <w:szCs w:val="22"/>
          <w:lang w:val="lt-LT"/>
        </w:rPr>
      </w:pPr>
    </w:p>
    <w:p w:rsidR="00B8468C" w:rsidRPr="007B1DD4" w:rsidRDefault="00B8468C" w:rsidP="00B77168">
      <w:pPr>
        <w:ind w:firstLine="720"/>
        <w:jc w:val="both"/>
        <w:rPr>
          <w:b/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B8468C" w:rsidRPr="007B1DD4" w:rsidRDefault="005404CB" w:rsidP="00B77168">
      <w:pPr>
        <w:ind w:firstLine="720"/>
        <w:jc w:val="both"/>
        <w:rPr>
          <w:b/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Nuo 2015 m. sausio 1 d. įsigaliojęs Lietuvos Respublikos paramos būstui įsigyti ar išsinuomoti įstatymas numato savivaldybės taryboms tvirtinti savivaldybės būsto fondo sąrašus. 2015 m. kovo 27 d. Rokiškio rajono savivaldybės ta</w:t>
      </w:r>
      <w:r w:rsidR="00C137A2" w:rsidRPr="007B1DD4">
        <w:rPr>
          <w:sz w:val="24"/>
          <w:szCs w:val="24"/>
          <w:lang w:val="lt-LT"/>
        </w:rPr>
        <w:t>rybos sprendimu buvo patvirtintas</w:t>
      </w:r>
      <w:r w:rsidRPr="007B1DD4">
        <w:rPr>
          <w:sz w:val="24"/>
          <w:szCs w:val="24"/>
          <w:lang w:val="lt-LT"/>
        </w:rPr>
        <w:t xml:space="preserve"> Rokiškio rajono savivaldybės būsto fondo sąrašas</w:t>
      </w:r>
      <w:r w:rsidR="00FB3120" w:rsidRPr="007B1DD4">
        <w:rPr>
          <w:sz w:val="24"/>
          <w:szCs w:val="24"/>
          <w:lang w:val="lt-LT"/>
        </w:rPr>
        <w:t>.</w:t>
      </w:r>
      <w:r w:rsidRPr="007B1DD4">
        <w:rPr>
          <w:sz w:val="24"/>
          <w:szCs w:val="24"/>
          <w:lang w:val="lt-LT"/>
        </w:rPr>
        <w:t xml:space="preserve"> </w:t>
      </w:r>
      <w:r w:rsidR="005650E5" w:rsidRPr="007B1DD4">
        <w:rPr>
          <w:sz w:val="24"/>
          <w:szCs w:val="24"/>
          <w:lang w:val="lt-LT"/>
        </w:rPr>
        <w:t>Pardavus 7</w:t>
      </w:r>
      <w:r w:rsidRPr="007B1DD4">
        <w:rPr>
          <w:sz w:val="24"/>
          <w:szCs w:val="24"/>
          <w:lang w:val="lt-LT"/>
        </w:rPr>
        <w:t xml:space="preserve"> </w:t>
      </w:r>
      <w:r w:rsidR="00C46253" w:rsidRPr="007B1DD4">
        <w:rPr>
          <w:sz w:val="24"/>
          <w:szCs w:val="24"/>
          <w:lang w:val="lt-LT"/>
        </w:rPr>
        <w:t>savivaldybės butus</w:t>
      </w:r>
      <w:r w:rsidR="00FB3120" w:rsidRPr="007B1DD4">
        <w:rPr>
          <w:sz w:val="24"/>
          <w:szCs w:val="24"/>
          <w:lang w:val="lt-LT"/>
        </w:rPr>
        <w:t xml:space="preserve"> nuomininkams, reikia tuos</w:t>
      </w:r>
      <w:r w:rsidR="00316F38" w:rsidRPr="007B1DD4">
        <w:rPr>
          <w:sz w:val="24"/>
          <w:szCs w:val="24"/>
          <w:lang w:val="lt-LT"/>
        </w:rPr>
        <w:t xml:space="preserve"> butus </w:t>
      </w:r>
      <w:r w:rsidR="005650E5" w:rsidRPr="007B1DD4">
        <w:rPr>
          <w:sz w:val="24"/>
          <w:szCs w:val="24"/>
          <w:lang w:val="lt-LT"/>
        </w:rPr>
        <w:t xml:space="preserve"> išbraukti iš </w:t>
      </w:r>
      <w:r w:rsidR="00C137A2" w:rsidRPr="007B1DD4">
        <w:rPr>
          <w:sz w:val="24"/>
          <w:szCs w:val="24"/>
          <w:lang w:val="lt-LT"/>
        </w:rPr>
        <w:t>savivaldybės būsto fondo sąrašo.</w:t>
      </w:r>
      <w:r w:rsidR="005650E5" w:rsidRPr="007B1DD4">
        <w:rPr>
          <w:sz w:val="24"/>
          <w:szCs w:val="24"/>
          <w:lang w:val="lt-LT"/>
        </w:rPr>
        <w:t xml:space="preserve"> </w:t>
      </w:r>
    </w:p>
    <w:p w:rsidR="00B8468C" w:rsidRPr="007B1DD4" w:rsidRDefault="00B8468C" w:rsidP="00B77168">
      <w:pPr>
        <w:ind w:left="720"/>
        <w:jc w:val="both"/>
        <w:rPr>
          <w:sz w:val="24"/>
          <w:szCs w:val="24"/>
          <w:lang w:val="lt-LT"/>
        </w:rPr>
      </w:pPr>
      <w:r w:rsidRPr="007B1DD4">
        <w:rPr>
          <w:b/>
          <w:bCs/>
          <w:sz w:val="24"/>
          <w:szCs w:val="24"/>
          <w:lang w:val="lt-LT"/>
        </w:rPr>
        <w:t>Šiuo metu esantis teisinis reglamentavimas.</w:t>
      </w:r>
      <w:r w:rsidRPr="007B1DD4">
        <w:rPr>
          <w:sz w:val="24"/>
          <w:szCs w:val="24"/>
          <w:lang w:val="lt-LT"/>
        </w:rPr>
        <w:t xml:space="preserve"> </w:t>
      </w:r>
    </w:p>
    <w:p w:rsidR="00B8468C" w:rsidRPr="007B1DD4" w:rsidRDefault="006B63ED" w:rsidP="00B77168">
      <w:pPr>
        <w:ind w:firstLine="709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 xml:space="preserve">Lietuvos Respublikos vietos savivaldos įstatymas, </w:t>
      </w:r>
      <w:r w:rsidR="00B8468C" w:rsidRPr="007B1DD4">
        <w:rPr>
          <w:sz w:val="24"/>
          <w:szCs w:val="24"/>
          <w:lang w:val="lt-LT"/>
        </w:rPr>
        <w:t>Lietuvos Respublikos paramos būstui į</w:t>
      </w:r>
      <w:r w:rsidR="00A90BCA" w:rsidRPr="007B1DD4">
        <w:rPr>
          <w:sz w:val="24"/>
          <w:szCs w:val="24"/>
          <w:lang w:val="lt-LT"/>
        </w:rPr>
        <w:t xml:space="preserve">sigyti ar išsinuomoti įstatymas, Rokiškio rajono savivaldybės tarybos 2015 m. kovo 27 d. </w:t>
      </w:r>
      <w:r w:rsidRPr="007B1DD4">
        <w:rPr>
          <w:sz w:val="24"/>
          <w:szCs w:val="24"/>
          <w:lang w:val="lt-LT"/>
        </w:rPr>
        <w:t>sprendimas Nr. TS-79 „Dėl Rokiškio rajono savivaldybės būsto fondo ir socialinio būsto fondo sąrašų patvirtinimo”</w:t>
      </w:r>
      <w:r w:rsidR="00FB3120" w:rsidRPr="007B1DD4">
        <w:rPr>
          <w:sz w:val="24"/>
          <w:szCs w:val="24"/>
          <w:lang w:val="lt-LT"/>
        </w:rPr>
        <w:t>.</w:t>
      </w:r>
      <w:r w:rsidR="00316F38" w:rsidRPr="007B1DD4">
        <w:rPr>
          <w:b/>
          <w:sz w:val="24"/>
          <w:szCs w:val="24"/>
          <w:lang w:val="lt-LT"/>
        </w:rPr>
        <w:t xml:space="preserve"> </w:t>
      </w:r>
    </w:p>
    <w:p w:rsidR="007B1DD4" w:rsidRDefault="00B8468C" w:rsidP="00B77168">
      <w:pPr>
        <w:pStyle w:val="Default"/>
        <w:jc w:val="both"/>
      </w:pPr>
      <w:r w:rsidRPr="007B1DD4">
        <w:rPr>
          <w:b/>
          <w:bCs/>
        </w:rPr>
        <w:tab/>
        <w:t>Sprendimo projekto esmė.</w:t>
      </w:r>
    </w:p>
    <w:p w:rsidR="00434C5E" w:rsidRPr="007B1DD4" w:rsidRDefault="0011167B" w:rsidP="00B77168">
      <w:pPr>
        <w:pStyle w:val="Default"/>
        <w:ind w:firstLine="720"/>
        <w:jc w:val="both"/>
      </w:pPr>
      <w:r w:rsidRPr="007B1DD4">
        <w:t>Vadovaudamasi</w:t>
      </w:r>
      <w:r w:rsidR="00D92AFE" w:rsidRPr="007B1DD4">
        <w:t xml:space="preserve"> </w:t>
      </w:r>
      <w:r w:rsidR="006B63ED" w:rsidRPr="007B1DD4">
        <w:t xml:space="preserve"> Lietuvos Respublikos paramos būstui įsigyti ar išsinuomoti įstatym</w:t>
      </w:r>
      <w:r w:rsidR="00D92AFE" w:rsidRPr="007B1DD4">
        <w:t xml:space="preserve">u, </w:t>
      </w:r>
      <w:r w:rsidRPr="007B1DD4">
        <w:t>Rokiškio rajono</w:t>
      </w:r>
      <w:r w:rsidR="006B63ED" w:rsidRPr="007B1DD4">
        <w:t xml:space="preserve"> savival</w:t>
      </w:r>
      <w:r w:rsidR="00D92AFE" w:rsidRPr="007B1DD4">
        <w:t xml:space="preserve">dybės taryba 2015 m. birželio 26 d sprendimu Nr. TS-164 patvirtino parduodamų </w:t>
      </w:r>
      <w:r w:rsidRPr="007B1DD4">
        <w:t xml:space="preserve">Rokiškio rajono </w:t>
      </w:r>
      <w:r w:rsidR="00D92AFE" w:rsidRPr="007B1DD4">
        <w:t>savivaldybės būst</w:t>
      </w:r>
      <w:r w:rsidR="000C10C1" w:rsidRPr="007B1DD4">
        <w:t>ų</w:t>
      </w:r>
      <w:r w:rsidR="003603A6" w:rsidRPr="007B1DD4">
        <w:t xml:space="preserve"> su pagal</w:t>
      </w:r>
      <w:r w:rsidR="00D92AFE" w:rsidRPr="007B1DD4">
        <w:t xml:space="preserve">binio ūkio paskirties pastatais sąrašą, </w:t>
      </w:r>
      <w:r w:rsidR="003603A6" w:rsidRPr="007B1DD4">
        <w:t xml:space="preserve">į kurį buvo </w:t>
      </w:r>
      <w:r w:rsidR="006B695F" w:rsidRPr="007B1DD4">
        <w:t>ir sprendimo projekte</w:t>
      </w:r>
      <w:r w:rsidR="002C08DA" w:rsidRPr="007B1DD4">
        <w:t xml:space="preserve"> iš</w:t>
      </w:r>
      <w:r w:rsidR="006B695F" w:rsidRPr="007B1DD4">
        <w:t xml:space="preserve">vardinti 7 savivaldybės butai. </w:t>
      </w:r>
      <w:r w:rsidR="00D92AFE" w:rsidRPr="007B1DD4">
        <w:t>Šie butai yra parduoti už turto vertintojų nustatytą</w:t>
      </w:r>
      <w:r w:rsidR="008F3A01" w:rsidRPr="007B1DD4">
        <w:t xml:space="preserve"> rinkos</w:t>
      </w:r>
      <w:r w:rsidR="00D92AFE" w:rsidRPr="007B1DD4">
        <w:t xml:space="preserve"> </w:t>
      </w:r>
      <w:r w:rsidR="00C70C07" w:rsidRPr="007B1DD4">
        <w:t>kainą</w:t>
      </w:r>
      <w:r w:rsidR="002C08DA" w:rsidRPr="007B1DD4">
        <w:t xml:space="preserve"> (bendra įplaukų suma už parduotus butus 37100 </w:t>
      </w:r>
      <w:proofErr w:type="spellStart"/>
      <w:r w:rsidR="002C08DA" w:rsidRPr="007B1DD4">
        <w:t>Eur</w:t>
      </w:r>
      <w:proofErr w:type="spellEnd"/>
      <w:r w:rsidR="002C08DA" w:rsidRPr="007B1DD4">
        <w:t>)</w:t>
      </w:r>
      <w:r w:rsidR="00C70C07" w:rsidRPr="007B1DD4">
        <w:t>, todėl t</w:t>
      </w:r>
      <w:r w:rsidRPr="007B1DD4">
        <w:t xml:space="preserve">eikiamame projekte numatyta išbraukti iš patvirtinto Rokiškio rajono savivaldybės būsto fondo sąrašo </w:t>
      </w:r>
      <w:r w:rsidR="00C70C07" w:rsidRPr="007B1DD4">
        <w:t xml:space="preserve">šiuos </w:t>
      </w:r>
      <w:r w:rsidR="002C08DA" w:rsidRPr="007B1DD4">
        <w:t>7</w:t>
      </w:r>
      <w:r w:rsidRPr="007B1DD4">
        <w:t xml:space="preserve"> parduotus savivaldybės butus</w:t>
      </w:r>
      <w:r w:rsidR="00C46253" w:rsidRPr="007B1DD4">
        <w:t>. Savivaldybės būstų lieka</w:t>
      </w:r>
      <w:r w:rsidR="002C08DA" w:rsidRPr="007B1DD4">
        <w:t xml:space="preserve"> 151</w:t>
      </w:r>
      <w:r w:rsidR="006B695F" w:rsidRPr="007B1DD4">
        <w:t>, iš jų 93 – socialiniai būstai</w:t>
      </w:r>
      <w:r w:rsidR="000C10C1" w:rsidRPr="007B1DD4">
        <w:t xml:space="preserve"> </w:t>
      </w:r>
      <w:r w:rsidR="002C08DA" w:rsidRPr="007B1DD4">
        <w:t xml:space="preserve"> </w:t>
      </w:r>
    </w:p>
    <w:p w:rsidR="00B8468C" w:rsidRPr="007B1DD4" w:rsidRDefault="00B8468C" w:rsidP="00B77168">
      <w:pPr>
        <w:pStyle w:val="Betarp"/>
        <w:jc w:val="both"/>
      </w:pPr>
      <w:r w:rsidRPr="007B1DD4">
        <w:rPr>
          <w:b/>
          <w:sz w:val="24"/>
          <w:szCs w:val="24"/>
        </w:rPr>
        <w:t xml:space="preserve">            </w:t>
      </w:r>
      <w:r w:rsidRPr="007B1DD4">
        <w:rPr>
          <w:rFonts w:ascii="Times New Roman" w:hAnsi="Times New Roman"/>
          <w:b/>
          <w:sz w:val="24"/>
          <w:szCs w:val="24"/>
        </w:rPr>
        <w:t>Galimos pasekmės, priėmus siūlomą tarybos sprendimo projektą</w:t>
      </w:r>
      <w:r w:rsidRPr="007B1DD4">
        <w:rPr>
          <w:b/>
          <w:sz w:val="24"/>
          <w:szCs w:val="24"/>
        </w:rPr>
        <w:t>:</w:t>
      </w:r>
    </w:p>
    <w:p w:rsidR="00B8468C" w:rsidRPr="007B1DD4" w:rsidRDefault="00B8468C" w:rsidP="00B77168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>teigiamos</w:t>
      </w:r>
      <w:r w:rsidRPr="007B1DD4">
        <w:rPr>
          <w:sz w:val="24"/>
          <w:szCs w:val="24"/>
          <w:lang w:val="lt-LT"/>
        </w:rPr>
        <w:t xml:space="preserve"> – </w:t>
      </w:r>
      <w:r w:rsidR="0075578A" w:rsidRPr="007B1DD4">
        <w:rPr>
          <w:sz w:val="24"/>
          <w:szCs w:val="24"/>
          <w:lang w:val="lt-LT"/>
        </w:rPr>
        <w:t>patikslinamas savivaldybės  būstų sąrašas.</w:t>
      </w:r>
    </w:p>
    <w:p w:rsidR="00B8468C" w:rsidRPr="007B1DD4" w:rsidRDefault="00B8468C" w:rsidP="00B77168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>neigiamos</w:t>
      </w:r>
      <w:r w:rsidRPr="007B1DD4">
        <w:rPr>
          <w:sz w:val="24"/>
          <w:szCs w:val="24"/>
          <w:lang w:val="lt-LT"/>
        </w:rPr>
        <w:t xml:space="preserve"> – nebus. </w:t>
      </w:r>
    </w:p>
    <w:p w:rsidR="00B8468C" w:rsidRPr="007B1DD4" w:rsidRDefault="00B8468C" w:rsidP="00B77168">
      <w:pPr>
        <w:ind w:firstLine="720"/>
        <w:jc w:val="both"/>
        <w:rPr>
          <w:sz w:val="24"/>
          <w:szCs w:val="24"/>
          <w:lang w:val="lt-LT"/>
        </w:rPr>
      </w:pPr>
      <w:r w:rsidRPr="007B1DD4">
        <w:rPr>
          <w:b/>
          <w:bCs/>
          <w:sz w:val="24"/>
          <w:szCs w:val="24"/>
          <w:lang w:val="lt-LT"/>
        </w:rPr>
        <w:t>Finansavimo šaltiniai ir lėšų poreikis</w:t>
      </w:r>
      <w:r w:rsidRPr="007B1DD4">
        <w:rPr>
          <w:sz w:val="24"/>
          <w:szCs w:val="24"/>
          <w:lang w:val="lt-LT"/>
        </w:rPr>
        <w:t>.</w:t>
      </w:r>
    </w:p>
    <w:p w:rsidR="006B63ED" w:rsidRPr="007B1DD4" w:rsidRDefault="006B63ED" w:rsidP="00B77168">
      <w:pPr>
        <w:ind w:firstLine="720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>Sprendimo įgyvendinimui biudžeto lėšų nereikės.</w:t>
      </w:r>
    </w:p>
    <w:p w:rsidR="00B8468C" w:rsidRPr="007B1DD4" w:rsidRDefault="00B8468C" w:rsidP="00B77168">
      <w:pPr>
        <w:ind w:firstLine="720"/>
        <w:jc w:val="both"/>
        <w:rPr>
          <w:sz w:val="24"/>
          <w:szCs w:val="24"/>
          <w:lang w:val="lt-LT"/>
        </w:rPr>
      </w:pPr>
      <w:r w:rsidRPr="007B1DD4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B8468C" w:rsidRPr="007B1DD4" w:rsidRDefault="00B8468C" w:rsidP="00B7716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7B1DD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E32663" w:rsidRPr="007B1DD4" w:rsidRDefault="00E32663" w:rsidP="00B77168">
      <w:pPr>
        <w:ind w:firstLine="720"/>
        <w:jc w:val="both"/>
        <w:rPr>
          <w:sz w:val="24"/>
          <w:szCs w:val="24"/>
          <w:lang w:val="lt-LT"/>
        </w:rPr>
      </w:pPr>
      <w:r w:rsidRPr="007B1DD4">
        <w:rPr>
          <w:b/>
          <w:sz w:val="24"/>
          <w:szCs w:val="24"/>
          <w:lang w:val="lt-LT"/>
        </w:rPr>
        <w:t>Antikorupcinis vertinimas-</w:t>
      </w:r>
      <w:r w:rsidRPr="007B1DD4">
        <w:rPr>
          <w:b/>
          <w:lang w:val="lt-LT"/>
        </w:rPr>
        <w:t xml:space="preserve"> </w:t>
      </w:r>
      <w:r w:rsidRPr="007B1DD4">
        <w:rPr>
          <w:sz w:val="24"/>
          <w:szCs w:val="24"/>
          <w:lang w:val="lt-LT"/>
        </w:rPr>
        <w:t>Teisės akte nenumatoma reguliuoti visuomeninių santykių, susijusių su Korupcijos prevencijos įstatymo 8 str</w:t>
      </w:r>
      <w:r w:rsidR="00F070EB">
        <w:rPr>
          <w:sz w:val="24"/>
          <w:szCs w:val="24"/>
          <w:lang w:val="lt-LT"/>
        </w:rPr>
        <w:t>aipsnio</w:t>
      </w:r>
      <w:r w:rsidRPr="007B1DD4">
        <w:rPr>
          <w:sz w:val="24"/>
          <w:szCs w:val="24"/>
          <w:lang w:val="lt-LT"/>
        </w:rPr>
        <w:t xml:space="preserve"> 1 d</w:t>
      </w:r>
      <w:r w:rsidR="00F070EB">
        <w:rPr>
          <w:sz w:val="24"/>
          <w:szCs w:val="24"/>
          <w:lang w:val="lt-LT"/>
        </w:rPr>
        <w:t>alyje</w:t>
      </w:r>
      <w:r w:rsidRPr="007B1DD4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B8468C" w:rsidRPr="007B1DD4" w:rsidRDefault="00B8468C" w:rsidP="00B77168">
      <w:pPr>
        <w:ind w:firstLine="720"/>
        <w:jc w:val="both"/>
        <w:rPr>
          <w:sz w:val="24"/>
          <w:szCs w:val="24"/>
          <w:lang w:val="lt-LT"/>
        </w:rPr>
      </w:pPr>
    </w:p>
    <w:p w:rsidR="00B8468C" w:rsidRPr="007B1DD4" w:rsidRDefault="00B8468C" w:rsidP="007B1DD4">
      <w:pPr>
        <w:ind w:firstLine="720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 xml:space="preserve">Turto valdymo ir viešųjų pirkimų skyriaus vedėja </w:t>
      </w:r>
      <w:r w:rsidRPr="007B1DD4">
        <w:rPr>
          <w:sz w:val="24"/>
          <w:szCs w:val="24"/>
          <w:lang w:val="lt-LT"/>
        </w:rPr>
        <w:tab/>
      </w:r>
      <w:r w:rsidRPr="007B1DD4">
        <w:rPr>
          <w:sz w:val="24"/>
          <w:szCs w:val="24"/>
          <w:lang w:val="lt-LT"/>
        </w:rPr>
        <w:tab/>
      </w:r>
      <w:r w:rsidRPr="007B1DD4">
        <w:rPr>
          <w:sz w:val="24"/>
          <w:szCs w:val="24"/>
          <w:lang w:val="lt-LT"/>
        </w:rPr>
        <w:tab/>
        <w:t xml:space="preserve">Julė </w:t>
      </w:r>
      <w:proofErr w:type="spellStart"/>
      <w:r w:rsidRPr="007B1DD4">
        <w:rPr>
          <w:sz w:val="24"/>
          <w:szCs w:val="24"/>
          <w:lang w:val="lt-LT"/>
        </w:rPr>
        <w:t>Bražionienė</w:t>
      </w:r>
      <w:proofErr w:type="spellEnd"/>
    </w:p>
    <w:p w:rsidR="00B8468C" w:rsidRPr="007B1DD4" w:rsidRDefault="00B8468C" w:rsidP="007B1DD4">
      <w:pPr>
        <w:pStyle w:val="Antrat5"/>
      </w:pPr>
    </w:p>
    <w:p w:rsidR="00B8468C" w:rsidRPr="007B1DD4" w:rsidRDefault="00B8468C" w:rsidP="007B1DD4">
      <w:pPr>
        <w:spacing w:before="100" w:beforeAutospacing="1" w:after="100" w:afterAutospacing="1"/>
        <w:ind w:left="720"/>
        <w:jc w:val="both"/>
        <w:rPr>
          <w:b/>
          <w:sz w:val="24"/>
          <w:szCs w:val="24"/>
          <w:lang w:val="lt-LT"/>
        </w:rPr>
      </w:pPr>
    </w:p>
    <w:p w:rsidR="00B8468C" w:rsidRPr="007B1DD4" w:rsidRDefault="00B8468C" w:rsidP="007B1DD4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7B1DD4">
        <w:rPr>
          <w:sz w:val="24"/>
          <w:szCs w:val="24"/>
          <w:lang w:val="lt-LT"/>
        </w:rPr>
        <w:tab/>
        <w:t xml:space="preserve"> </w:t>
      </w:r>
    </w:p>
    <w:p w:rsidR="00B8468C" w:rsidRPr="007B1DD4" w:rsidRDefault="00B8468C" w:rsidP="007B1DD4">
      <w:pPr>
        <w:pStyle w:val="Betarp"/>
        <w:ind w:left="3600" w:firstLine="720"/>
        <w:jc w:val="both"/>
        <w:rPr>
          <w:rFonts w:ascii="Times New Roman" w:hAnsi="Times New Roman"/>
          <w:sz w:val="24"/>
          <w:szCs w:val="24"/>
          <w:lang w:eastAsia="lt-LT"/>
        </w:rPr>
      </w:pPr>
    </w:p>
    <w:sectPr w:rsidR="00B8468C" w:rsidRPr="007B1DD4" w:rsidSect="006C7B0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44" w:rsidRDefault="00DF5844">
      <w:r>
        <w:separator/>
      </w:r>
    </w:p>
  </w:endnote>
  <w:endnote w:type="continuationSeparator" w:id="0">
    <w:p w:rsidR="00DF5844" w:rsidRDefault="00D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44" w:rsidRDefault="00DF5844">
      <w:r>
        <w:separator/>
      </w:r>
    </w:p>
  </w:footnote>
  <w:footnote w:type="continuationSeparator" w:id="0">
    <w:p w:rsidR="00DF5844" w:rsidRDefault="00DF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6C7B0E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7B1DD4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B1DD4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D24D43"/>
    <w:multiLevelType w:val="multilevel"/>
    <w:tmpl w:val="42AC392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144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646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</w:lvl>
  </w:abstractNum>
  <w:abstractNum w:abstractNumId="4">
    <w:nsid w:val="73694FD9"/>
    <w:multiLevelType w:val="hybridMultilevel"/>
    <w:tmpl w:val="30DE311A"/>
    <w:lvl w:ilvl="0" w:tplc="98DA74EE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246341"/>
    <w:multiLevelType w:val="hybridMultilevel"/>
    <w:tmpl w:val="610C700C"/>
    <w:lvl w:ilvl="0" w:tplc="427C1CB2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54B"/>
    <w:rsid w:val="00002952"/>
    <w:rsid w:val="00005D9C"/>
    <w:rsid w:val="0003517C"/>
    <w:rsid w:val="000421A5"/>
    <w:rsid w:val="000B3407"/>
    <w:rsid w:val="000C10C1"/>
    <w:rsid w:val="000C59CF"/>
    <w:rsid w:val="000D5DBA"/>
    <w:rsid w:val="000E275B"/>
    <w:rsid w:val="001059F4"/>
    <w:rsid w:val="0011167B"/>
    <w:rsid w:val="00123009"/>
    <w:rsid w:val="001371D5"/>
    <w:rsid w:val="00150F92"/>
    <w:rsid w:val="001531BE"/>
    <w:rsid w:val="001B4307"/>
    <w:rsid w:val="001C3EBF"/>
    <w:rsid w:val="001D20DC"/>
    <w:rsid w:val="001E521C"/>
    <w:rsid w:val="001E755B"/>
    <w:rsid w:val="00202109"/>
    <w:rsid w:val="00204FB0"/>
    <w:rsid w:val="00226CDB"/>
    <w:rsid w:val="00246429"/>
    <w:rsid w:val="00251820"/>
    <w:rsid w:val="0026113C"/>
    <w:rsid w:val="00264A0A"/>
    <w:rsid w:val="00265BB4"/>
    <w:rsid w:val="002767B0"/>
    <w:rsid w:val="002C08DA"/>
    <w:rsid w:val="002C6668"/>
    <w:rsid w:val="002D0049"/>
    <w:rsid w:val="002D7FD9"/>
    <w:rsid w:val="002F1BCE"/>
    <w:rsid w:val="003017F1"/>
    <w:rsid w:val="003039EA"/>
    <w:rsid w:val="00316F38"/>
    <w:rsid w:val="00327B24"/>
    <w:rsid w:val="00330407"/>
    <w:rsid w:val="00333374"/>
    <w:rsid w:val="003456F5"/>
    <w:rsid w:val="003603A6"/>
    <w:rsid w:val="003642F1"/>
    <w:rsid w:val="0037746B"/>
    <w:rsid w:val="00393A32"/>
    <w:rsid w:val="003A2F5A"/>
    <w:rsid w:val="003B0E38"/>
    <w:rsid w:val="003C018B"/>
    <w:rsid w:val="003D1D48"/>
    <w:rsid w:val="003D47A8"/>
    <w:rsid w:val="003E7A3C"/>
    <w:rsid w:val="003F2339"/>
    <w:rsid w:val="004167C7"/>
    <w:rsid w:val="00424A22"/>
    <w:rsid w:val="004344B3"/>
    <w:rsid w:val="00434C5E"/>
    <w:rsid w:val="0044775B"/>
    <w:rsid w:val="0045358E"/>
    <w:rsid w:val="004855CF"/>
    <w:rsid w:val="00486926"/>
    <w:rsid w:val="004A5E07"/>
    <w:rsid w:val="004B2FD2"/>
    <w:rsid w:val="004C3754"/>
    <w:rsid w:val="004C7466"/>
    <w:rsid w:val="004D0E56"/>
    <w:rsid w:val="004D39DC"/>
    <w:rsid w:val="004E1A0F"/>
    <w:rsid w:val="0050409D"/>
    <w:rsid w:val="00505218"/>
    <w:rsid w:val="00513A59"/>
    <w:rsid w:val="00536E47"/>
    <w:rsid w:val="00537EC0"/>
    <w:rsid w:val="005404CB"/>
    <w:rsid w:val="00547B39"/>
    <w:rsid w:val="00556F80"/>
    <w:rsid w:val="005650E5"/>
    <w:rsid w:val="00576313"/>
    <w:rsid w:val="005A2F72"/>
    <w:rsid w:val="005A4839"/>
    <w:rsid w:val="005B2C5C"/>
    <w:rsid w:val="005D23F3"/>
    <w:rsid w:val="005D37DA"/>
    <w:rsid w:val="005E4261"/>
    <w:rsid w:val="005E734F"/>
    <w:rsid w:val="005F0B2B"/>
    <w:rsid w:val="00651A83"/>
    <w:rsid w:val="00684143"/>
    <w:rsid w:val="00686BDA"/>
    <w:rsid w:val="006A0DE1"/>
    <w:rsid w:val="006A157F"/>
    <w:rsid w:val="006A760B"/>
    <w:rsid w:val="006B08C4"/>
    <w:rsid w:val="006B3639"/>
    <w:rsid w:val="006B63ED"/>
    <w:rsid w:val="006B695F"/>
    <w:rsid w:val="006B7B81"/>
    <w:rsid w:val="006C7B0E"/>
    <w:rsid w:val="006D4F1D"/>
    <w:rsid w:val="006E5926"/>
    <w:rsid w:val="0075578A"/>
    <w:rsid w:val="00761DC3"/>
    <w:rsid w:val="007651DA"/>
    <w:rsid w:val="00765866"/>
    <w:rsid w:val="00766AD8"/>
    <w:rsid w:val="00775E7A"/>
    <w:rsid w:val="00780B12"/>
    <w:rsid w:val="007A4934"/>
    <w:rsid w:val="007B1DD4"/>
    <w:rsid w:val="007B4063"/>
    <w:rsid w:val="007B74CA"/>
    <w:rsid w:val="007C4998"/>
    <w:rsid w:val="007F0962"/>
    <w:rsid w:val="007F0F2C"/>
    <w:rsid w:val="007F303F"/>
    <w:rsid w:val="007F45BF"/>
    <w:rsid w:val="00821272"/>
    <w:rsid w:val="00823635"/>
    <w:rsid w:val="00887DD7"/>
    <w:rsid w:val="008A7AC0"/>
    <w:rsid w:val="008B074A"/>
    <w:rsid w:val="008B421F"/>
    <w:rsid w:val="008B4285"/>
    <w:rsid w:val="008F07FA"/>
    <w:rsid w:val="008F3A01"/>
    <w:rsid w:val="008F6439"/>
    <w:rsid w:val="00902247"/>
    <w:rsid w:val="00904842"/>
    <w:rsid w:val="009106C4"/>
    <w:rsid w:val="009339A7"/>
    <w:rsid w:val="009445FF"/>
    <w:rsid w:val="009572BE"/>
    <w:rsid w:val="00982543"/>
    <w:rsid w:val="00993F27"/>
    <w:rsid w:val="009A3E98"/>
    <w:rsid w:val="009B18AB"/>
    <w:rsid w:val="009C1F16"/>
    <w:rsid w:val="009C1F80"/>
    <w:rsid w:val="009C2094"/>
    <w:rsid w:val="009D4DC4"/>
    <w:rsid w:val="00A000BD"/>
    <w:rsid w:val="00A14A14"/>
    <w:rsid w:val="00A22701"/>
    <w:rsid w:val="00A47E94"/>
    <w:rsid w:val="00A669B9"/>
    <w:rsid w:val="00A75E86"/>
    <w:rsid w:val="00A90A5D"/>
    <w:rsid w:val="00A90BCA"/>
    <w:rsid w:val="00A97072"/>
    <w:rsid w:val="00AE60BF"/>
    <w:rsid w:val="00B030E8"/>
    <w:rsid w:val="00B033F5"/>
    <w:rsid w:val="00B04D11"/>
    <w:rsid w:val="00B10B98"/>
    <w:rsid w:val="00B6012A"/>
    <w:rsid w:val="00B63568"/>
    <w:rsid w:val="00B77168"/>
    <w:rsid w:val="00B8468C"/>
    <w:rsid w:val="00BA1C67"/>
    <w:rsid w:val="00C04002"/>
    <w:rsid w:val="00C137A2"/>
    <w:rsid w:val="00C27781"/>
    <w:rsid w:val="00C460DF"/>
    <w:rsid w:val="00C46253"/>
    <w:rsid w:val="00C560DC"/>
    <w:rsid w:val="00C569C4"/>
    <w:rsid w:val="00C57912"/>
    <w:rsid w:val="00C70C07"/>
    <w:rsid w:val="00C718E5"/>
    <w:rsid w:val="00C95F4F"/>
    <w:rsid w:val="00CA536C"/>
    <w:rsid w:val="00CC3C94"/>
    <w:rsid w:val="00CC4C7A"/>
    <w:rsid w:val="00D14E46"/>
    <w:rsid w:val="00D41BE6"/>
    <w:rsid w:val="00D4417F"/>
    <w:rsid w:val="00D4478B"/>
    <w:rsid w:val="00D70031"/>
    <w:rsid w:val="00D772F2"/>
    <w:rsid w:val="00D85E27"/>
    <w:rsid w:val="00D92AFE"/>
    <w:rsid w:val="00D93F6C"/>
    <w:rsid w:val="00DC1862"/>
    <w:rsid w:val="00DF5844"/>
    <w:rsid w:val="00E232EB"/>
    <w:rsid w:val="00E32663"/>
    <w:rsid w:val="00E4661B"/>
    <w:rsid w:val="00E524A0"/>
    <w:rsid w:val="00E750C3"/>
    <w:rsid w:val="00E76090"/>
    <w:rsid w:val="00E91E48"/>
    <w:rsid w:val="00EA3F29"/>
    <w:rsid w:val="00EA53D4"/>
    <w:rsid w:val="00EB1BFB"/>
    <w:rsid w:val="00EC2423"/>
    <w:rsid w:val="00ED3A40"/>
    <w:rsid w:val="00ED552C"/>
    <w:rsid w:val="00EF4FBD"/>
    <w:rsid w:val="00F070EB"/>
    <w:rsid w:val="00F17A42"/>
    <w:rsid w:val="00F24607"/>
    <w:rsid w:val="00F309FC"/>
    <w:rsid w:val="00F5364F"/>
    <w:rsid w:val="00F709C5"/>
    <w:rsid w:val="00FA7957"/>
    <w:rsid w:val="00FB034F"/>
    <w:rsid w:val="00FB07E9"/>
    <w:rsid w:val="00FB3120"/>
    <w:rsid w:val="00FD15BE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97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Sraopastraipa">
    <w:name w:val="List Paragraph"/>
    <w:basedOn w:val="prastasis"/>
    <w:uiPriority w:val="99"/>
    <w:qFormat/>
    <w:rsid w:val="002D0049"/>
    <w:pPr>
      <w:ind w:left="720"/>
      <w:contextualSpacing/>
    </w:pPr>
    <w:rPr>
      <w:color w:val="000000"/>
      <w:sz w:val="24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002952"/>
    <w:rPr>
      <w:lang w:val="en-AU"/>
    </w:rPr>
  </w:style>
  <w:style w:type="paragraph" w:styleId="Betarp">
    <w:name w:val="No Spacing"/>
    <w:uiPriority w:val="1"/>
    <w:qFormat/>
    <w:rsid w:val="0000295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0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9D4D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D4DC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Sraopastraipa">
    <w:name w:val="List Paragraph"/>
    <w:basedOn w:val="prastasis"/>
    <w:uiPriority w:val="99"/>
    <w:qFormat/>
    <w:rsid w:val="002D0049"/>
    <w:pPr>
      <w:ind w:left="720"/>
      <w:contextualSpacing/>
    </w:pPr>
    <w:rPr>
      <w:color w:val="000000"/>
      <w:sz w:val="24"/>
      <w:lang w:val="lt-LT" w:eastAsia="en-US"/>
    </w:rPr>
  </w:style>
  <w:style w:type="character" w:customStyle="1" w:styleId="AntratsDiagrama">
    <w:name w:val="Antraštės Diagrama"/>
    <w:link w:val="Antrats"/>
    <w:uiPriority w:val="99"/>
    <w:rsid w:val="00002952"/>
    <w:rPr>
      <w:lang w:val="en-AU"/>
    </w:rPr>
  </w:style>
  <w:style w:type="paragraph" w:styleId="Betarp">
    <w:name w:val="No Spacing"/>
    <w:uiPriority w:val="1"/>
    <w:qFormat/>
    <w:rsid w:val="0000295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0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9D4D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D4DC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5FE7-B2B5-429A-8C44-96844033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3</cp:revision>
  <cp:lastPrinted>2015-10-15T14:53:00Z</cp:lastPrinted>
  <dcterms:created xsi:type="dcterms:W3CDTF">2016-11-15T07:43:00Z</dcterms:created>
  <dcterms:modified xsi:type="dcterms:W3CDTF">2016-11-15T07:43:00Z</dcterms:modified>
</cp:coreProperties>
</file>